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70"/>
        <w:tblW w:w="0" w:type="auto"/>
        <w:tblInd w:w="-31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>
        <w:trPr/>
        <w:tc>
          <w:tcPr>
            <w:shd w:val="clear" w:fill="auto" w:color="auto"/>
            <w:tcW w:w="101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Старшая группа должностей категории «специалисты»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Главный специалист управления государственного надзора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Министерства природных ресурсов и экологии Кузбасса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Кемеровская область - Кузбасс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Кемерово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Примерный размер денежного содержания (оплаты труда)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, руб.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от 25 500 до 32 500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Прием документов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12.04.2022 - 0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.05.2022</w:t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Тип объявления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Вакансия для включения в кадровый резерв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вакансии, наименование государственного органа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организации</w:t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и экологии Кузбасса</w:t>
            </w:r>
            <w:r/>
          </w:p>
          <w:p>
            <w:pPr>
              <w:jc w:val="center"/>
              <w:tabs>
                <w:tab w:val="left" w:pos="1080" w:leader="none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/>
          </w:p>
          <w:p>
            <w:pPr>
              <w:tabs>
                <w:tab w:val="left" w:pos="1080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профессиональной служебной деятельности</w:t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Управление в сфере природных ресурсов, природопользование и экология</w:t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tabs>
                <w:tab w:val="left" w:pos="1080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профессиональной служебной деятельности</w:t>
            </w:r>
            <w:r/>
          </w:p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Регулирование в области охраны окружающей среды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Группа должности</w:t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Старшая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Категория должности</w:t>
            </w:r>
            <w:r/>
          </w:p>
          <w:p>
            <w:pPr>
              <w:pStyle w:val="87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</w:t>
            </w:r>
            <w:r/>
          </w:p>
          <w:p>
            <w:pPr>
              <w:pStyle w:val="87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pStyle w:val="87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Должностные обязанности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34" w:firstLine="675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территории Кемеровской области – Кузбасса осуществляе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 региональный государственный экологический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контроль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надзор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 осуществлении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хозяйственной и иной деятельности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за исключением деятельности с использованием объектов,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подлежащих федеральному государственному экологическому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надзору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региональный государственный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геологический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контроль (надзор)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 отношении участков недр местного значения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34" w:firstLine="675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едет производство по делам об административных правонарушениях в полном объеме в соответствии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КоАП РФ, представляет интересы министерства по делам об административных правонарушениях во всех судебных органах в соответствии с выданной ему доверенностью;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34" w:firstLine="675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проводит проверки юридических лиц, индивидуальных предпринимателей и граждан в рамках региональн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ого государственного экологического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контроля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надзора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региональн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геологическ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(надзор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; 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34" w:firstLine="675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готовит материалы о нарушениях законодательства в области охраны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окружающей среды для направления их в правоохранительные и иные государственные органы;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0"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рассматривает поступившие в управление государственного 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адзора Министерства  на исполнение обращения граждан, юридических лиц;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34" w:firstLine="675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ведет учет поступивших в управление государственного надзора Министерства на исполнение обращения граждан, юридических лиц, сроков их рассмотрения, передачи по подведомственности в иные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органы, должностным лицам;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34" w:firstLine="675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ведет единый реестр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контрольных (надзорных) мероприятий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принятых мер в отношении фактов нарушений, выявленных при проведении проверки; формирует иные формы отчетности; </w:t>
            </w:r>
            <w:r/>
          </w:p>
          <w:p>
            <w:pPr>
              <w:pStyle w:val="874"/>
              <w:numPr>
                <w:ilvl w:val="0"/>
                <w:numId w:val="18"/>
              </w:numPr>
              <w:ind w:left="0"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обеспечивает размещение документов по рассмотрению поступивших в управление государственного надзора Министерства  на исполнение обращений граждан, юридических лиц на официальном сайте Министерства.</w:t>
            </w:r>
            <w:r/>
          </w:p>
          <w:p>
            <w:pPr>
              <w:pStyle w:val="87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Государственные гарантии государственных гражданских слу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жащих Кемеровской области – Кузбасса закреплены в главе 12 Закона Кемеровской области – Кузбасса от 01.08.2005 № 103-ОЗ «О государственных должностях Кемеровской области – Кузбасса и государственной гражданской службе Кемеровской области – Кузбасса» (далее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– Закон Кемеровской области – Кузбасса № 103-ОЗ).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contextualSpacing w:val="true"/>
              <w:ind w:firstLine="885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права, обязанности государственного гражданского служащего Кемеровской области - Кузбасса, а также ограничения и запреты, связанные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гражданской службой, требования к служебному поведению предус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мотрены статьями 22-26 Закона Кемеровской области - Кузбасса № 103-ОЗ.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  <w:p>
            <w:pPr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Ответственность</w:t>
            </w:r>
            <w:r/>
          </w:p>
          <w:p>
            <w:pPr>
              <w:ind w:firstLine="602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Гражданский служащий Кемеровской области - Кузбасса в соответствии                     с федеральными законами, Законом Кемеровской области - Кузбасса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№ 103-ОЗ, иными законами Кемеровской области – Кузбасса несет дисциплинарную, гражданско-правовую, административную или уголовную ответственность: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0" w:firstLine="602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разглашение сведений, составляющих государственную и иную охраняемую федеральным законом тайну, а также св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0" w:firstLine="602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несоблюдение ограничений, нарушение запретов, невыполнение требова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неисполнение или ненадлежащее исполнение 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его вине возложенных     на него должностных обязанностей;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действия (бездействие), ведущие к нарушению прав и законных интересов граждан или юридических лиц;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непредставление сведений о своих доходах, расходах,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br/>
              <w:t xml:space="preserve">об имуществе и обязательствах имуществе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нного характера, а также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несовершеннолетних детей;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представление заведомо недостоверных или неполных сведений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br/>
              <w:t xml:space="preserve">о своих доходах, расходах, об имуществе 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несоблюдение требований о предотвращении или об урегулировании конфликта 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тересов;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предоставление представителю нанимателя подложных документов                     или заведомо ложных сведений при заключении служебного контракта;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 непредставление представителю нанимателя сведений об адресах сайтов и (или) страниц сайтов в 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за порчу государственного имущества, в том числе предоставленного ему для исполнения дол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жностных обязанностей;</w:t>
            </w:r>
            <w:r/>
          </w:p>
          <w:p>
            <w:pPr>
              <w:pStyle w:val="874"/>
              <w:numPr>
                <w:ilvl w:val="0"/>
                <w:numId w:val="12"/>
              </w:numPr>
              <w:ind w:left="34" w:firstLine="568"/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за разглашение вверенных персональных данных.</w:t>
            </w:r>
            <w:r/>
          </w:p>
          <w:p>
            <w:pPr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  <w:p>
            <w:pPr>
              <w:widowControl w:val="off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Показатели эффективности и результативности</w:t>
            </w:r>
            <w:r/>
          </w:p>
          <w:p>
            <w:pPr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профессиональной служебной деятельности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Эффективность и результативность профессиональной служебной деятельности гражданского служащего определяется на основании достижения (учитывается степень участия в достижении) таких показателей, как: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1) отсутствие нарушений запретов, требований к служебном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 поведению                    и иных обязательств, установленных законодательством Российской Федерации                  о государственной гражданской службе;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2) качество выполненной работы: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подготовка документов в соответствии с установленными требования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количество возвратов на доработку ранее подготовленных документов;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3) наличие у гражданского служащего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поощрений за безупречную и эффективную гражданскую службу;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 экзамена или иных показателей;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6) своевременность и оперативность выполнения поручений, рассмотр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7) способность четко организовывать и планировать выполнение порученных заданий, умение рационально использовать 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абочее время, расставлять приоритеты;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8) творческий подход к решению поставленных задач, активность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br/>
              <w:t xml:space="preserve">и инициатива в освоении новых компьютерных и информационных технологий;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9) способность быстро адаптироваться к новым условиям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br/>
              <w:t xml:space="preserve">и требованиям, самостоятельнос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ть выполнения должностных обязанностей;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10) отсутствие обоснованных жалоб граждан, организаций, сотрудников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на действия (бездействие) гражданского служащего.</w:t>
            </w:r>
            <w:r/>
          </w:p>
          <w:p>
            <w:pPr>
              <w:ind w:firstLine="567"/>
              <w:jc w:val="both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11) своевременная подготовка документов, связанных с организацией, проведением и завершением контр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ольных мероприятий; отсутствие проверок, проведенных с нарушением установленных сроков проведения; отсутствие проверок, результаты которых признаны недействительными.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служебного контракта</w:t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Бессрочный</w:t>
            </w:r>
            <w:r/>
          </w:p>
        </w:tc>
      </w:tr>
      <w:tr>
        <w:trPr/>
        <w:tc>
          <w:tcPr>
            <w:tcW w:w="101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Служебный распорядок</w:t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Командировки - 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10% служебного времени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5-ти дневная рабочая неделя с 8-30 до 17-30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Нормированный служебный день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Дополнительная информация</w:t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Методы оценки кандидатов: тестирование, индивидуальное собеседование.</w:t>
            </w:r>
            <w:r/>
          </w:p>
          <w:p>
            <w:pPr>
              <w:ind w:firstLine="6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 учетом сложившейся эпидемиологической ситуации, в  целях при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      </w:r>
            <w:r/>
          </w:p>
          <w:p>
            <w:pPr>
              <w:ind w:firstLine="6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ind w:firstLine="60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связи с этим в анкете необходимо указать актуальный адрес электронной почты.  На указанный Вами адрес будут высланы аутентификационные данные для прохождения тестирования и проведения собеседования в дистанционной форме.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Знания и умения: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Базовые знания:</w:t>
            </w:r>
            <w:r/>
          </w:p>
          <w:p>
            <w:pPr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государственного языка Российской Федерации (русского языка);</w:t>
            </w:r>
            <w:r/>
          </w:p>
          <w:p>
            <w:pPr>
              <w:jc w:val="both"/>
              <w:widowControl w:val="off"/>
              <w:tabs>
                <w:tab w:val="left" w:pos="1027" w:leader="none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основ: 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Конституции Российской Федерации;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709" w:leader="none"/>
                <w:tab w:val="left" w:pos="993" w:leader="none"/>
                <w:tab w:val="left" w:pos="113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Федерального закона от 27.05.2003 № 58-ФЗ «О системе государственной службы Российской Федерации»;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709" w:leader="none"/>
                <w:tab w:val="left" w:pos="993" w:leader="none"/>
                <w:tab w:val="left" w:pos="113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акона от 27.07.2004 № 79-ФЗ «О государственной гражданской службе Российской Федерации»;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709" w:leader="none"/>
                <w:tab w:val="left" w:pos="993" w:leader="none"/>
                <w:tab w:val="left" w:pos="113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Федерального закона от 02.05.2006 № 59-ФЗ «О порядке рассмотрения обращений граждан Российской Федерации»;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Федерального закона от 25.12.2008 № 273-ФЗ «О противод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ействии коррупции»;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hyperlink r:id="rId12" w:tooltip="http://pravo.gov.ru/proxy/ips/?docbody=&amp;nd=102165163&amp;intelsearch=%D4%E5%E4%E5%F0%E0%EB%FC%ED%FB%E9+%E7%E0%EA%EE%ED+%EE%F2+07.05.2013+%B9+79-%D4%C7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</w:t>
              </w:r>
              <w:r>
                <w:rPr>
                  <w:rStyle w:val="86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нках, расположенных</w:t>
              </w:r>
              <w:r>
                <w:rPr>
                  <w:rStyle w:val="86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 xml:space="preserve">за пределами территории Российской Федерации, владеть и (или) пользоваться иностранными финансовыми инструментами»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Устава Кемеровской области - Кузбасса;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Кемеровской области от 09.03.2005 № 47-ОЗ «О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органов государственной власти Кемеровской области - Кузбасса»;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Закона Кемеровской области от 01.08.2005 № 103-ОЗ                                  «О государственных должностях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емеровской области – Кузбасса и государственной гражданской службе Кемеровской области - Кузбасса»;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hyperlink r:id="rId13" w:tooltip="http://www.ako.ru/Anticorruption/NPA/57-oz/Закон%20Кемеровской%20области%2057-ОЗ%20от%2008-05-2007.doc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Закона Кемеровской области от 02.11.2017 № 97-ОЗ</w:t>
              </w:r>
              <w:r>
                <w:rPr>
                  <w:rStyle w:val="86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 xml:space="preserve">«О регулировании отдельных вопросов в сфере противодействия коррупции»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 Указ Президента Российской Федерации от 15.05.2018 № 215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«О структуре федеральных органов исполнительной власти»;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м) Постановление Правительства Кемеровской области - Кузбасса от 16.03.2020 № 132 "О Министерстве природных ресурсов и экологии Кузбасса"; 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и умения в области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коммуникационных технологий; основ делопроизводства и документооборота.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  <w:t xml:space="preserve">Профессиональные знания: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Кодекс Российской Федерации об административных правонарушениях; </w:t>
            </w:r>
            <w:r/>
          </w:p>
          <w:p>
            <w:pPr>
              <w:ind w:firstLine="74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Водный кодекс;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от 24.06.1998 № 89-ФЗ «Об отходах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роизводства и потребления»;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от 04.05.1999 № 96-ФЗ «Об охране атмосферного воздуха»;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от 10.01.2002 № 7-ФЗ «Об охране окружающей среды»;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от 27.07.2006 № 152-ФЗ «О персональных данных»;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 06.04.2011 № 63-ФЗ «Об электронной подписи»;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РФ от 21.02.1992 №2395-1 «О недрах»;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от 23.11.1995 №174-Ф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 «Об экологической экспертизе»;</w:t>
            </w:r>
            <w:r/>
          </w:p>
          <w:p>
            <w:pPr>
              <w:contextualSpacing w:val="true"/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Федеральный закон от 26.07.2019 № 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ферного воздуха»;</w:t>
            </w:r>
            <w:r/>
          </w:p>
          <w:p>
            <w:pPr>
              <w:contextualSpacing w:val="true"/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highlight w:val="yellow"/>
              </w:rPr>
            </w:pPr>
            <w:r/>
            <w:hyperlink r:id="rId14" w:tooltip="http://pravo.gov.ru/proxy/ips/?docbody=&amp;nd=102152700" w:history="1"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 xml:space="preserve">Федеральный закон от 07.12.2011 № 416-ФЗ «О водоснабжении и водоотведении»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Указ Президента Российской Федерации от 02.04.2013 № 309 «О мерах по реализации отдельных положений Федерального закона «О противодействии коррупции»;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Указ Президента Российской Федерации от 15.07.2015 № 364 «О мерах по совершенствованию организации деятел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ьности в области противодействия коррупции»;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Кемеровской области от 18.01.2007 № 5-ОЗ «О разграничении полномочий между органами государственной власти Кемеровской области в сфере охраны окружающей среды»;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постановление Правительства Российской Федер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ации от 05.07.2013 № 568 «О распространении на отдельные категории граждан ограничений, запретов и обязанностей, установленных Федеральным законом «О противодействии коррупции» и другими федеральными законами в целях противодействия коррупции»;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постановлен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ие Правительства Российской Федерации от 09.01.2014 № 10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постановление Правительства Российской Федерации от 21.01.2015 № 29 «Об утверждении Правил сообщения 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ой Федерации»;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постановление Коллегии Администрации Кемеровской области от 03.11.2006 № 218 «Об утверждении Положения о порядке организации рассмотрения обращений граждан в исполнительных органах государственной власти Кемеровской области»;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Знания и опыт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работы в области охраны окружающей среды. Знания и опыт работы в области производства по делам об административных правонарушениях, осуществления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государственного экологического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контроля (надзора), государственного геологического контроля (надзора).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</w:t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  <w:t xml:space="preserve">Базовые умения: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умение мыслить системно (стратегически);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умение планировать, рационально использовать служебное время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br/>
              <w:t xml:space="preserve">и достигать результата;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коммуникативные умения;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совершенствовать свой профессиональный уровень;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работать в стрессовых условиях;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умение управлять изменениями.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r>
            <w:r/>
          </w:p>
          <w:p>
            <w:pPr>
              <w:ind w:firstLine="0"/>
              <w:jc w:val="both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  <w:t xml:space="preserve">Профессиональное умения: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u w:val="none"/>
              </w:rPr>
              <w:t xml:space="preserve">умение применять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u w:val="none"/>
              </w:rPr>
              <w:t xml:space="preserve">пр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инципы, методы, технологии и механизмы осуществления контроля (надзора);</w:t>
            </w:r>
            <w:r>
              <w:rPr>
                <w:highlight w:val="none"/>
              </w:rPr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владеть информацией по видам, назначению и технологии организации проверочных процедур;</w:t>
            </w:r>
            <w:r>
              <w:rPr>
                <w:highlight w:val="none"/>
              </w:rPr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владеть процедурой организации проверки: порядок, этапы, инструменты прове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дения;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ограничения при проведении проверки;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меры, принимаемые по результатам проверки;</w:t>
            </w:r>
            <w:r>
              <w:rPr>
                <w:highlight w:val="none"/>
              </w:rPr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владеть знаниями по применению оснований проведения и особенности внеплановых проверок;</w:t>
            </w:r>
            <w:r>
              <w:rPr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yellow"/>
                <w:u w:val="single"/>
              </w:rPr>
            </w:r>
            <w:r>
              <w:rPr>
                <w:highlight w:val="yellow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Квалификационные требования к стажу</w:t>
            </w:r>
            <w:r/>
          </w:p>
          <w:p>
            <w:pPr>
              <w:jc w:val="both"/>
              <w:tabs>
                <w:tab w:val="left" w:pos="360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предъявляются</w:t>
            </w:r>
            <w:r/>
          </w:p>
          <w:p>
            <w:pPr>
              <w:jc w:val="both"/>
              <w:tabs>
                <w:tab w:val="left" w:pos="360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Требования к уровню образования</w:t>
            </w:r>
            <w:r/>
          </w:p>
          <w:p>
            <w:pPr>
              <w:ind w:firstLine="709"/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Наличие высшего образования не ниже уровня бакалавриата, требования к направлению подготовки (специальности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не предъявляются.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Тестовые вопросы на соответствие базовым квалификационным требованиям: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vlasti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gosudarstvennaya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sluzhba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informatsiya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dlya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uchastnikov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konkursa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php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Документы для участия в конкурсе направляются заказным письмом по почте    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с пометкой на конверте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«Конкурс»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650000, г. Кемерово,                          пр. Советский,63 ,Министерство природных ресурсов и экологии Кузбасса.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/>
          </w:p>
          <w:p>
            <w:pPr>
              <w:ind w:left="-71" w:firstLine="71"/>
              <w:tabs>
                <w:tab w:val="left" w:pos="360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приема документов</w:t>
            </w:r>
            <w:r/>
          </w:p>
          <w:p>
            <w:pPr>
              <w:jc w:val="both"/>
              <w:tabs>
                <w:tab w:val="left" w:pos="360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с 8 часов 30 минут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30 минут (обед с 12-00                        до 12-48),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г. Кемерово, пр. Советский, 63.</w:t>
            </w:r>
            <w:r/>
          </w:p>
        </w:tc>
      </w:tr>
    </w:tbl>
    <w:p>
      <w:pPr>
        <w:ind w:left="-284" w:firstLine="284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ind w:left="-42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  <w:r/>
    </w:p>
    <w:p>
      <w:pPr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ind w:left="-426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Телефон для справок: 8(3842) 58-27-79</w:t>
      </w:r>
      <w:r/>
    </w:p>
    <w:sectPr>
      <w:footnotePr/>
      <w:endnotePr/>
      <w:type w:val="nextPage"/>
      <w:pgSz w:w="11906" w:h="16838" w:orient="portrait"/>
      <w:pgMar w:top="567" w:right="850" w:bottom="426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8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429" w:hanging="360"/>
      </w:pPr>
      <w:rPr>
        <w:rFonts w:hint="default"/>
        <w:b w:val="false"/>
        <w:bCs w:val="false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2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82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14" w:hanging="405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67" w:hanging="10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2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7"/>
  </w:num>
  <w:num w:numId="6">
    <w:abstractNumId w:val="18"/>
  </w:num>
  <w:num w:numId="7">
    <w:abstractNumId w:val="0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674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675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676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677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678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680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81">
    <w:name w:val="Title Char"/>
    <w:basedOn w:val="698"/>
    <w:link w:val="711"/>
    <w:uiPriority w:val="10"/>
    <w:rPr>
      <w:sz w:val="48"/>
      <w:szCs w:val="48"/>
    </w:rPr>
  </w:style>
  <w:style w:type="character" w:styleId="682">
    <w:name w:val="Subtitle Char"/>
    <w:basedOn w:val="698"/>
    <w:link w:val="713"/>
    <w:uiPriority w:val="11"/>
    <w:rPr>
      <w:sz w:val="24"/>
      <w:szCs w:val="24"/>
    </w:rPr>
  </w:style>
  <w:style w:type="character" w:styleId="683">
    <w:name w:val="Quote Char"/>
    <w:link w:val="715"/>
    <w:uiPriority w:val="29"/>
    <w:rPr>
      <w:i/>
    </w:rPr>
  </w:style>
  <w:style w:type="character" w:styleId="684">
    <w:name w:val="Intense Quote Char"/>
    <w:link w:val="717"/>
    <w:uiPriority w:val="30"/>
    <w:rPr>
      <w:i/>
    </w:rPr>
  </w:style>
  <w:style w:type="character" w:styleId="685">
    <w:name w:val="Header Char"/>
    <w:basedOn w:val="698"/>
    <w:link w:val="719"/>
    <w:uiPriority w:val="99"/>
  </w:style>
  <w:style w:type="character" w:styleId="686">
    <w:name w:val="Caption Char"/>
    <w:basedOn w:val="723"/>
    <w:link w:val="721"/>
    <w:uiPriority w:val="99"/>
  </w:style>
  <w:style w:type="character" w:styleId="687">
    <w:name w:val="Endnote Text Char"/>
    <w:link w:val="851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0">
    <w:name w:val="Heading 2"/>
    <w:basedOn w:val="688"/>
    <w:next w:val="68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1">
    <w:name w:val="Heading 3"/>
    <w:basedOn w:val="688"/>
    <w:next w:val="68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2">
    <w:name w:val="Heading 4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4">
    <w:name w:val="Heading 6"/>
    <w:basedOn w:val="688"/>
    <w:next w:val="688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88"/>
    <w:next w:val="688"/>
    <w:link w:val="7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2" w:customStyle="1">
    <w:name w:val="Название Знак"/>
    <w:basedOn w:val="698"/>
    <w:link w:val="711"/>
    <w:uiPriority w:val="10"/>
    <w:rPr>
      <w:sz w:val="48"/>
      <w:szCs w:val="48"/>
    </w:rPr>
  </w:style>
  <w:style w:type="paragraph" w:styleId="713">
    <w:name w:val="Subtitle"/>
    <w:basedOn w:val="688"/>
    <w:next w:val="688"/>
    <w:link w:val="714"/>
    <w:qFormat/>
    <w:uiPriority w:val="11"/>
    <w:rPr>
      <w:sz w:val="24"/>
      <w:szCs w:val="24"/>
    </w:rPr>
    <w:pPr>
      <w:spacing w:before="200"/>
    </w:pPr>
  </w:style>
  <w:style w:type="character" w:styleId="714" w:customStyle="1">
    <w:name w:val="Подзаголовок Знак"/>
    <w:basedOn w:val="698"/>
    <w:link w:val="713"/>
    <w:uiPriority w:val="11"/>
    <w:rPr>
      <w:sz w:val="24"/>
      <w:szCs w:val="24"/>
    </w:rPr>
  </w:style>
  <w:style w:type="paragraph" w:styleId="715">
    <w:name w:val="Quote"/>
    <w:basedOn w:val="688"/>
    <w:next w:val="688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88"/>
    <w:next w:val="688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basedOn w:val="688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Верхний колонтитул Знак"/>
    <w:basedOn w:val="698"/>
    <w:link w:val="719"/>
    <w:uiPriority w:val="99"/>
  </w:style>
  <w:style w:type="paragraph" w:styleId="721">
    <w:name w:val="Footer"/>
    <w:basedOn w:val="688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98"/>
    <w:uiPriority w:val="99"/>
  </w:style>
  <w:style w:type="paragraph" w:styleId="723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4" w:customStyle="1">
    <w:name w:val="Нижний колонтитул Знак"/>
    <w:link w:val="721"/>
    <w:uiPriority w:val="99"/>
  </w:style>
  <w:style w:type="table" w:styleId="725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Lined - Accent 1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Lined - Accent 2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Lined - Accent 3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Lined - Accent 4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Lined - Accent 5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Lined - Accent 6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 &amp; Lined - Accent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Bordered &amp; Lined - Accent 1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Bordered &amp; Lined - Accent 2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Bordered &amp; Lined - Accent 3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Bordered &amp; Lined - Accent 4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Bordered &amp; Lined - Accent 5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Bordered &amp; Lined - Accent 6"/>
    <w:basedOn w:val="6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5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6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7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8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9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0" w:customStyle="1">
    <w:name w:val="Footnote Text Char"/>
    <w:uiPriority w:val="99"/>
    <w:rPr>
      <w:sz w:val="18"/>
    </w:rPr>
  </w:style>
  <w:style w:type="paragraph" w:styleId="851">
    <w:name w:val="endnote text"/>
    <w:basedOn w:val="688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98"/>
    <w:uiPriority w:val="99"/>
    <w:semiHidden/>
    <w:unhideWhenUsed/>
    <w:rPr>
      <w:vertAlign w:val="superscript"/>
    </w:rPr>
  </w:style>
  <w:style w:type="paragraph" w:styleId="854">
    <w:name w:val="toc 1"/>
    <w:basedOn w:val="688"/>
    <w:next w:val="688"/>
    <w:uiPriority w:val="39"/>
    <w:unhideWhenUsed/>
    <w:pPr>
      <w:spacing w:after="57"/>
    </w:pPr>
  </w:style>
  <w:style w:type="paragraph" w:styleId="855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6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7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8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9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0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1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2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8"/>
    <w:next w:val="688"/>
    <w:uiPriority w:val="99"/>
    <w:unhideWhenUsed/>
    <w:pPr>
      <w:spacing w:after="0"/>
    </w:pPr>
  </w:style>
  <w:style w:type="character" w:styleId="865" w:customStyle="1">
    <w:name w:val="extended-text__short"/>
    <w:basedOn w:val="698"/>
  </w:style>
  <w:style w:type="paragraph" w:styleId="866">
    <w:name w:val="footnote text"/>
    <w:basedOn w:val="688"/>
    <w:link w:val="867"/>
    <w:unhideWhenUsed/>
    <w:rPr>
      <w:sz w:val="20"/>
      <w:szCs w:val="20"/>
    </w:rPr>
    <w:pPr>
      <w:spacing w:lineRule="auto" w:line="240" w:after="0"/>
    </w:pPr>
  </w:style>
  <w:style w:type="character" w:styleId="867" w:customStyle="1">
    <w:name w:val="Текст сноски Знак"/>
    <w:basedOn w:val="698"/>
    <w:link w:val="866"/>
    <w:rPr>
      <w:sz w:val="20"/>
      <w:szCs w:val="20"/>
    </w:rPr>
  </w:style>
  <w:style w:type="character" w:styleId="868">
    <w:name w:val="footnote reference"/>
    <w:uiPriority w:val="99"/>
    <w:rPr>
      <w:rFonts w:cs="Times New Roman"/>
      <w:vertAlign w:val="superscript"/>
    </w:rPr>
  </w:style>
  <w:style w:type="character" w:styleId="869">
    <w:name w:val="Hyperlink"/>
    <w:uiPriority w:val="99"/>
    <w:unhideWhenUsed/>
    <w:rPr>
      <w:color w:val="0000FF"/>
      <w:u w:val="single"/>
    </w:rPr>
  </w:style>
  <w:style w:type="table" w:styleId="870">
    <w:name w:val="Table Grid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 w:customStyle="1">
    <w:name w:val="ConsPlusNormal"/>
    <w:link w:val="872"/>
    <w:rPr>
      <w:rFonts w:ascii="Arial" w:hAnsi="Arial" w:cs="Arial" w:eastAsia="Times New Roman"/>
      <w:sz w:val="20"/>
      <w:szCs w:val="20"/>
    </w:rPr>
    <w:pPr>
      <w:ind w:firstLine="720"/>
      <w:spacing w:lineRule="auto" w:line="240" w:after="0"/>
      <w:widowControl w:val="off"/>
    </w:pPr>
  </w:style>
  <w:style w:type="character" w:styleId="872" w:customStyle="1">
    <w:name w:val="ConsPlusNormal Знак"/>
    <w:link w:val="871"/>
    <w:rPr>
      <w:rFonts w:ascii="Arial" w:hAnsi="Arial" w:cs="Arial" w:eastAsia="Times New Roman"/>
      <w:sz w:val="20"/>
      <w:szCs w:val="20"/>
      <w:lang w:eastAsia="ru-RU"/>
    </w:rPr>
  </w:style>
  <w:style w:type="paragraph" w:styleId="873">
    <w:name w:val="Normal (Web)"/>
    <w:basedOn w:val="68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4">
    <w:name w:val="List Paragraph"/>
    <w:basedOn w:val="688"/>
    <w:link w:val="881"/>
    <w:qFormat/>
    <w:uiPriority w:val="34"/>
    <w:pPr>
      <w:contextualSpacing w:val="true"/>
      <w:ind w:left="720"/>
    </w:pPr>
  </w:style>
  <w:style w:type="paragraph" w:styleId="875" w:customStyle="1">
    <w:name w:val="Название1"/>
    <w:basedOn w:val="68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6" w:customStyle="1">
    <w:name w:val="price"/>
    <w:basedOn w:val="68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77" w:customStyle="1">
    <w:name w:val="Doc-Т внутри нумерации Знак"/>
    <w:link w:val="87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78" w:customStyle="1">
    <w:name w:val="Doc-Т внутри нумерации"/>
    <w:basedOn w:val="688"/>
    <w:link w:val="877"/>
    <w:uiPriority w:val="99"/>
    <w:rPr>
      <w:rFonts w:ascii="Times New Roman" w:hAnsi="Times New Roman" w:cs="Times New Roman" w:eastAsia="Times New Roman"/>
      <w:sz w:val="20"/>
      <w:szCs w:val="20"/>
    </w:rPr>
    <w:pPr>
      <w:ind w:left="720" w:firstLine="709"/>
      <w:jc w:val="both"/>
      <w:spacing w:lineRule="auto" w:line="360" w:after="0"/>
    </w:pPr>
  </w:style>
  <w:style w:type="paragraph" w:styleId="879">
    <w:name w:val="Balloon Text"/>
    <w:basedOn w:val="688"/>
    <w:link w:val="8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0" w:customStyle="1">
    <w:name w:val="Текст выноски Знак"/>
    <w:basedOn w:val="698"/>
    <w:link w:val="879"/>
    <w:uiPriority w:val="99"/>
    <w:semiHidden/>
    <w:rPr>
      <w:rFonts w:ascii="Tahoma" w:hAnsi="Tahoma" w:cs="Tahoma"/>
      <w:sz w:val="16"/>
      <w:szCs w:val="16"/>
    </w:rPr>
  </w:style>
  <w:style w:type="character" w:styleId="881" w:customStyle="1">
    <w:name w:val="Абзац списка Знак"/>
    <w:link w:val="874"/>
    <w:uiPriority w:val="34"/>
  </w:style>
  <w:style w:type="paragraph" w:styleId="882" w:customStyle="1">
    <w:name w:val="ConsPlusNonformat"/>
    <w:uiPriority w:val="99"/>
    <w:rPr>
      <w:rFonts w:ascii="Courier New" w:hAnsi="Courier New" w:cs="Courier New" w:eastAsia="Calibri"/>
      <w:sz w:val="20"/>
      <w:szCs w:val="20"/>
    </w:rPr>
    <w:pPr>
      <w:spacing w:lineRule="auto" w:line="240" w:after="0"/>
    </w:pPr>
  </w:style>
  <w:style w:type="paragraph" w:styleId="883" w:customStyle="1">
    <w:name w:val="Абзац списка1"/>
    <w:basedOn w:val="688"/>
    <w:rPr>
      <w:rFonts w:ascii="Calibri" w:hAnsi="Calibri" w:cs="Times New Roman" w:eastAsiaTheme="minorHAnsi"/>
    </w:rPr>
    <w:pPr>
      <w:ind w:left="720"/>
      <w:jc w:val="both"/>
    </w:pPr>
  </w:style>
  <w:style w:type="character" w:styleId="884" w:customStyle="1">
    <w:name w:val="extended-text__full"/>
    <w:basedOn w:val="698"/>
  </w:style>
  <w:style w:type="paragraph" w:styleId="885" w:customStyle="1">
    <w:name w:val="Абзац списка2"/>
    <w:basedOn w:val="688"/>
    <w:link w:val="886"/>
    <w:qFormat/>
    <w:uiPriority w:val="34"/>
    <w:rPr>
      <w:rFonts w:ascii="Times New Roman" w:hAnsi="Times New Roman" w:cs="Times New Roman" w:eastAsia="Times New Roman"/>
      <w:sz w:val="24"/>
      <w:szCs w:val="20"/>
    </w:rPr>
    <w:pPr>
      <w:contextualSpacing w:val="true"/>
      <w:ind w:left="720"/>
      <w:spacing w:lineRule="auto" w:line="240" w:after="0"/>
    </w:pPr>
  </w:style>
  <w:style w:type="character" w:styleId="886" w:customStyle="1">
    <w:name w:val="List Paragraph Char"/>
    <w:link w:val="885"/>
    <w:uiPriority w:val="34"/>
    <w:rPr>
      <w:rFonts w:ascii="Times New Roman" w:hAnsi="Times New Roman" w:cs="Times New Roman" w:eastAsia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13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14" Type="http://schemas.openxmlformats.org/officeDocument/2006/relationships/hyperlink" Target="http://pravo.gov.ru/proxy/ips/?docbody=&amp;nd=1021527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38B4A2D-FAF8-410F-B0F0-512627317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revision>42</cp:revision>
  <dcterms:created xsi:type="dcterms:W3CDTF">2021-08-10T08:43:00Z</dcterms:created>
  <dcterms:modified xsi:type="dcterms:W3CDTF">2022-04-11T02:28:40Z</dcterms:modified>
</cp:coreProperties>
</file>