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8"/>
        <w:jc w:val="center"/>
      </w:pPr>
      <w:r>
        <w:rPr>
          <w:rFonts w:cs="Times New Roman"/>
          <w:sz w:val="28"/>
          <w:szCs w:val="28"/>
        </w:rPr>
        <w:t xml:space="preserve">Действующие меры государственной поддержки предприятий, их стимулирование к производству продукции из вторичного сырья</w:t>
      </w:r>
      <w:r/>
      <w:r/>
    </w:p>
    <w:p>
      <w:pPr>
        <w:pStyle w:val="848"/>
        <w:ind w:firstLine="709"/>
        <w:jc w:val="both"/>
      </w:pPr>
      <w:r/>
      <w:r/>
    </w:p>
    <w:p>
      <w:pPr>
        <w:pStyle w:val="848"/>
        <w:ind w:firstLine="709"/>
        <w:jc w:val="both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848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</w:rPr>
        <w:t xml:space="preserve">Указом</w:t>
      </w:r>
      <w:r>
        <w:rPr>
          <w:rFonts w:ascii="Times New Roman" w:hAnsi="Times New Roman"/>
          <w:sz w:val="28"/>
        </w:rPr>
        <w:t xml:space="preserve"> Президента Российской Федерации от 07.05.2024 № 309 </w:t>
        <w:br/>
        <w:t xml:space="preserve">«О национальных целях развития Российской Федерации на период до 2030 года и на перспективу до 2036 года»</w:t>
      </w:r>
      <w:r>
        <w:rPr>
          <w:rFonts w:ascii="Times New Roman" w:hAnsi="Times New Roman" w:cs="Times New Roman"/>
          <w:sz w:val="28"/>
          <w:szCs w:val="28"/>
        </w:rPr>
        <w:t xml:space="preserve"> установлены целевые показатели по формированию экономики замкнутого цикла, обеспечивающие к </w:t>
      </w:r>
      <w:r>
        <w:rPr>
          <w:rFonts w:ascii="Times New Roman" w:hAnsi="Times New Roman" w:cs="Times New Roman"/>
          <w:sz w:val="28"/>
          <w:szCs w:val="28"/>
        </w:rPr>
        <w:t xml:space="preserve">2030 году сортировку 100 % объема ежегодно образуемых твердых коммунальных отходов, захоронение не более чем 50 % таких отходов и вовлечение в хозяйственный оборот не менее чем 25 % отходов производства и потребления в качестве вторичных ресурсов и сырья.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48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целях</w:t>
      </w:r>
      <w:r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имулирования реализации новых инвестиционных проектов экономики замкнутого цикла, связанных с применением вторичных ресурсов </w:t>
        <w:br/>
        <w:t xml:space="preserve">и вторичного сырья из отходов в различных сферах экономики Кузбасса, в регионе действуют следующие меры государственной поддержки: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48"/>
        <w:ind w:left="709"/>
        <w:jc w:val="both"/>
        <w:spacing w:line="288" w:lineRule="atLeast"/>
      </w:pPr>
      <w:r>
        <w:rPr>
          <w:sz w:val="28"/>
          <w:szCs w:val="28"/>
        </w:rPr>
        <w:t xml:space="preserve">1. Территории опережающего развития (далее – ТОР).</w:t>
      </w:r>
      <w:r/>
    </w:p>
    <w:p>
      <w:pPr>
        <w:pStyle w:val="848"/>
        <w:ind w:firstLine="709"/>
        <w:jc w:val="both"/>
        <w:spacing w:line="288" w:lineRule="atLeast"/>
      </w:pPr>
      <w:r>
        <w:rPr>
          <w:sz w:val="28"/>
          <w:szCs w:val="28"/>
        </w:rPr>
        <w:t xml:space="preserve">В Кемеровской области – Кузбассе созданы четыре ТОР в границах монопрофильных муниципальных образований (моногородов):</w:t>
      </w:r>
      <w:r/>
    </w:p>
    <w:p>
      <w:pPr>
        <w:pStyle w:val="848"/>
        <w:ind w:firstLine="709"/>
        <w:spacing w:line="276" w:lineRule="auto"/>
      </w:pPr>
      <w:r>
        <w:rPr>
          <w:sz w:val="28"/>
        </w:rPr>
        <w:t xml:space="preserve"> </w:t>
      </w:r>
      <w:r>
        <w:fldChar w:fldCharType="begin"/>
      </w:r>
      <w:r>
        <w:instrText xml:space="preserve"> HYPERLINK  "https://www.yurga.org/deyatelnost/toser/index.php" </w:instrText>
      </w:r>
      <w:r>
        <w:fldChar w:fldCharType="separate"/>
      </w:r>
      <w:r>
        <w:rPr>
          <w:sz w:val="28"/>
        </w:rPr>
        <w:t xml:space="preserve">ТОР «Юрга»</w:t>
      </w:r>
      <w:r>
        <w:fldChar w:fldCharType="end"/>
      </w:r>
      <w:r>
        <w:rPr>
          <w:sz w:val="28"/>
        </w:rPr>
        <w:t xml:space="preserve">;</w:t>
      </w:r>
      <w:r/>
    </w:p>
    <w:p>
      <w:pPr>
        <w:pStyle w:val="848"/>
        <w:ind w:firstLine="709"/>
        <w:spacing w:line="276" w:lineRule="auto"/>
      </w:pPr>
      <w:r>
        <w:rPr>
          <w:sz w:val="28"/>
        </w:rPr>
        <w:t xml:space="preserve"> </w:t>
      </w:r>
      <w:r>
        <w:fldChar w:fldCharType="begin"/>
      </w:r>
      <w:r>
        <w:instrText xml:space="preserve"> HYPERLINK  "https://www.anzhero.ru/pages/invest/toser.asp?Id=311" </w:instrText>
      </w:r>
      <w:r>
        <w:fldChar w:fldCharType="separate"/>
      </w:r>
      <w:r>
        <w:rPr>
          <w:sz w:val="28"/>
        </w:rPr>
        <w:t xml:space="preserve">ТОР «Анжеро-Судженск»</w:t>
      </w:r>
      <w:r>
        <w:fldChar w:fldCharType="end"/>
      </w:r>
      <w:r>
        <w:rPr>
          <w:sz w:val="28"/>
        </w:rPr>
        <w:t xml:space="preserve">;</w:t>
      </w:r>
      <w:r/>
    </w:p>
    <w:p>
      <w:pPr>
        <w:pStyle w:val="848"/>
        <w:ind w:firstLine="709"/>
        <w:spacing w:line="276" w:lineRule="auto"/>
      </w:pPr>
      <w:r>
        <w:rPr>
          <w:sz w:val="28"/>
        </w:rPr>
        <w:t xml:space="preserve"> </w:t>
      </w:r>
      <w:r>
        <w:fldChar w:fldCharType="begin"/>
      </w:r>
      <w:r>
        <w:instrText xml:space="preserve"> HYPERLINK  "http://xn----dtbjhocqddcbtmmy5cxg.xn--p1ai/" </w:instrText>
      </w:r>
      <w:r>
        <w:fldChar w:fldCharType="separate"/>
      </w:r>
      <w:r>
        <w:rPr>
          <w:sz w:val="28"/>
        </w:rPr>
        <w:t xml:space="preserve">ТОР «Новокузнецк»</w:t>
      </w:r>
      <w:r>
        <w:fldChar w:fldCharType="end"/>
      </w:r>
      <w:r>
        <w:rPr>
          <w:sz w:val="28"/>
        </w:rPr>
        <w:t xml:space="preserve">;</w:t>
      </w:r>
      <w:r/>
    </w:p>
    <w:p>
      <w:pPr>
        <w:pStyle w:val="848"/>
        <w:ind w:firstLine="709"/>
        <w:spacing w:line="276" w:lineRule="auto"/>
      </w:pPr>
      <w:r>
        <w:rPr>
          <w:sz w:val="28"/>
        </w:rPr>
        <w:t xml:space="preserve"> </w:t>
      </w:r>
      <w:r>
        <w:fldChar w:fldCharType="begin"/>
      </w:r>
      <w:r>
        <w:instrText xml:space="preserve"> HYPERLINK  "http://www.pearlkuz.ru/index.php/city/toser" </w:instrText>
      </w:r>
      <w:r>
        <w:fldChar w:fldCharType="separate"/>
      </w:r>
      <w:r>
        <w:rPr>
          <w:sz w:val="28"/>
        </w:rPr>
        <w:t xml:space="preserve">ТОР «Прокопьевск»</w:t>
      </w:r>
      <w:r>
        <w:fldChar w:fldCharType="end"/>
      </w:r>
      <w:r>
        <w:rPr>
          <w:sz w:val="28"/>
        </w:rPr>
        <w:t xml:space="preserve">.</w:t>
      </w:r>
      <w:r/>
    </w:p>
    <w:p>
      <w:pPr>
        <w:pStyle w:val="848"/>
        <w:ind w:firstLine="709"/>
        <w:jc w:val="both"/>
        <w:spacing w:line="288" w:lineRule="atLeast"/>
      </w:pPr>
      <w:r>
        <w:rPr>
          <w:sz w:val="28"/>
          <w:szCs w:val="28"/>
        </w:rPr>
        <w:t xml:space="preserve">Статус ТОР позволяет юридическим лицам и индивидуальным предпринимателям получать налоговые льготы и иные преференции при осуществлении деятельности на территории моногорода.</w:t>
      </w:r>
      <w:r/>
    </w:p>
    <w:p>
      <w:pPr>
        <w:pStyle w:val="848"/>
        <w:ind w:firstLine="709"/>
        <w:jc w:val="both"/>
      </w:pPr>
      <w:r>
        <w:rPr>
          <w:rFonts w:cs="Times New Roman"/>
          <w:sz w:val="28"/>
          <w:szCs w:val="28"/>
        </w:rPr>
        <w:t xml:space="preserve">Для резидентов ТОР до 2030 года предусмотрены следующие льготы:</w:t>
      </w:r>
      <w:r/>
    </w:p>
    <w:p>
      <w:pPr>
        <w:pStyle w:val="848"/>
        <w:ind w:firstLine="709"/>
        <w:jc w:val="both"/>
      </w:pPr>
      <w:r>
        <w:rPr>
          <w:rFonts w:cs="Times New Roman"/>
          <w:sz w:val="28"/>
          <w:szCs w:val="28"/>
        </w:rPr>
        <w:t xml:space="preserve">снижение ставки налога на прибыль организаций, подлежащего зачислению в федеральный бюджет, в первые 5 лет до 0 %, далее – 8 %;</w:t>
      </w:r>
      <w:r/>
    </w:p>
    <w:p>
      <w:pPr>
        <w:pStyle w:val="848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снижение ставки налога на прибыль организаций, подлежащего зачислению в региональный бюджет, в первые 5 лет до 5 %, далее – 10 %;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848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освобождение от налога на имущество организаций, подлежащего зачислению в региональный бюджет, в первые 5 лет до 0 %, далее – 1,1 %;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848"/>
        <w:ind w:firstLine="709"/>
        <w:jc w:val="both"/>
      </w:pPr>
      <w:r>
        <w:rPr>
          <w:rFonts w:cs="Times New Roman"/>
          <w:sz w:val="28"/>
          <w:szCs w:val="28"/>
        </w:rPr>
        <w:t xml:space="preserve">освобождение от земельного налога (по решению муниципального образования) в соответствии с правовыми актам муниципальных образований Кемеровской области – Кузбасса.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2. Особая экономическая зона промышленно-производственного типа «Кузбасс» (далее – ОЭЗ ППТ «Кузбасс»).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В Кемеровской области – Кузбассе ОЭЗ ППТ «Кузбасс» создана на части территории Топкинского муниципального округа и города Кемерово.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Для резидентов ОЭЗ ППТ «Кузбасс» предусмотрены следующие льготы:</w:t>
      </w:r>
      <w:r/>
    </w:p>
    <w:p>
      <w:pPr>
        <w:pStyle w:val="84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освобождение от уплаты налога на имущество организаций в течение 10 лет;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освобождение от уплаты транспортного налога в течение 10 лет;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освобождение от уплаты земельного налога в течение 5 лет;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снижение ставки налога на прибыль организаций в первые 5 лет до 2 %, с 6 до 10 лет до 7 %, с 11 до 20 лет до 15,5 %;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firstLine="709"/>
        <w:jc w:val="both"/>
      </w:pPr>
      <w:r>
        <w:rPr>
          <w:sz w:val="28"/>
          <w:szCs w:val="28"/>
        </w:rPr>
        <w:t xml:space="preserve">применение понижающего коэффициента при расчете арендной платы за земельный участок установлено приказом Министерством экономического развития Российской Федерации от 27.05.2024 № 313.</w:t>
      </w:r>
      <w:r/>
    </w:p>
    <w:p>
      <w:pPr>
        <w:pStyle w:val="848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Инвестиционный налоговый вычет.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jc w:val="both"/>
      </w:pPr>
      <w:r>
        <w:rPr>
          <w:sz w:val="28"/>
          <w:szCs w:val="28"/>
        </w:rPr>
        <w:tab/>
        <w:t xml:space="preserve">В целях стимулирования обновления основных средств и осуществления научно-исследовательских и опытно-конструкторских ра</w:t>
      </w:r>
      <w:r>
        <w:rPr>
          <w:sz w:val="28"/>
          <w:szCs w:val="28"/>
        </w:rPr>
        <w:t xml:space="preserve">бот (далее – НИОКР) установлено право на применение инвестиционного налогового вычета по налогу на прибыль организаций в соответствии с Законом Кемеровской области от 18.07.2019 № 52-ОЗ «Об инвестиционном налоговом вычете по налогу на прибыль организаций».</w:t>
      </w:r>
      <w:r/>
    </w:p>
    <w:p>
      <w:pPr>
        <w:pStyle w:val="848"/>
        <w:ind w:firstLine="709"/>
        <w:jc w:val="both"/>
      </w:pPr>
      <w:r>
        <w:rPr>
          <w:sz w:val="28"/>
          <w:szCs w:val="28"/>
        </w:rPr>
        <w:t xml:space="preserve">До 50% затрат на приобретение оборудования и транспорта или до 90% расходов на НИОКР могут быть вычтены из суммы начисленного налога на прибыль организаций.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4. Перечень инвестиционных и инновационных проектов, товаропроизводителей.</w:t>
      </w:r>
      <w:r/>
    </w:p>
    <w:p>
      <w:pPr>
        <w:pStyle w:val="84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Кемеровской области от 26.11.2008 № 102-ОЗ «О государственной подд</w:t>
      </w:r>
      <w:r>
        <w:rPr>
          <w:sz w:val="28"/>
          <w:szCs w:val="28"/>
        </w:rPr>
        <w:t xml:space="preserve">ержке инвестиционной, инновационной и производственной деятельности в Кемеровской области» установлены формы и условия предоставления государственной поддержки инвестиционной, инновационной и производственной деятельности в Кемеровской области – Кузбассе.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Законом Кемеровской области от 26.11.2008 № 101-ОЗ «О налоговых льготах </w:t>
      </w:r>
      <w:r>
        <w:rPr>
          <w:sz w:val="28"/>
          <w:szCs w:val="28"/>
        </w:rPr>
        <w:t xml:space="preserve">субъектам инвестиционной, инновационной и производственной деятельности, управляющим организациям технопарков, базовым организациям технопарков, резидентам территорий опережающего развития и особых экономических зон» установлены следующие налоговые льготы:</w:t>
      </w:r>
      <w:r/>
    </w:p>
    <w:p>
      <w:pPr>
        <w:pStyle w:val="84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освобождение от уплаты налога на имущество организаций сроком на 5 лет;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предоставление права на применение инвестиционного налогового вычета в соответствии с подпунктом 4 пункта 1 ст</w:t>
      </w:r>
      <w:r>
        <w:rPr>
          <w:sz w:val="28"/>
          <w:szCs w:val="28"/>
        </w:rPr>
        <w:t xml:space="preserve">атьи 1 Закона Кемеровской области от 18.07.2019 № 52-ОЗ «Об инвестиционном налоговом вычете по налогу на прибыль организаций» (при условии возникновения в соответствующем налоговом периоде права на освобождение от уплаты налога на имущество организаций).</w:t>
      </w:r>
      <w:r/>
    </w:p>
    <w:p>
      <w:pPr>
        <w:pStyle w:val="84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Региональный инвестиционный проект.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В целях стимулирования развития инвестиционной деятельности принят Закон Кемеровской области – Кузбасса от 24.12</w:t>
      </w:r>
      <w:r>
        <w:rPr>
          <w:sz w:val="28"/>
          <w:szCs w:val="28"/>
        </w:rPr>
        <w:t xml:space="preserve">.2019 № 160-ОЗ «О региональных инвестиционных проектах в Кемеровской области – Кузбассе», который определяет порядок принятия решения о включении организаций в реестр участников региональных инвестиционных проектов, а также устанавливает налоговые льготы: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по налогу на прибыль организаций – 10 % при условии, что сумма налоговой льготы по налогу на прибыль, которую получит инвестор, не может быть больше 50 % объема осуществленных в целях реализации инвестиционного проекта капитальных вложений;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по налогу на имущество организаций – 0 % в течение 5 лет с даты включения в реестр, 1,1 % в течение следующих 5 лет.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6. Масштабные инвестиционные проекты.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При отсутствии площадки для реализации проекта могут быть предоставлены земельные участки в аренду без торгов. Для этого проект признается масштабным по одному из критериев, установленных Законом Кемеровской области от 08.07.2016 № 52-ОЗ «Об уст</w:t>
      </w:r>
      <w:r>
        <w:rPr>
          <w:sz w:val="28"/>
          <w:szCs w:val="28"/>
        </w:rPr>
        <w:t xml:space="preserve">ановлении критериев, которым должны соответствовать масштабные инвестиционные проекты, размещаемые на земельных участках, находящихся в государственной или муниципальной собственности, для предоставления юридическим лицам в аренду без проведения торгов».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7. Налоговые льготы для переработчиков отходов.</w:t>
      </w:r>
      <w:r/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Законом Кемеровской области от 02.06.2011 </w:t>
      </w:r>
      <w:r>
        <w:rPr>
          <w:sz w:val="28"/>
          <w:szCs w:val="28"/>
          <w:shd w:val="clear" w:color="auto" w:fill="ffffff"/>
        </w:rPr>
        <w:t xml:space="preserve">№ 64-ОЗ «</w:t>
      </w:r>
      <w:r>
        <w:rPr>
          <w:sz w:val="28"/>
          <w:szCs w:val="28"/>
        </w:rPr>
        <w:t xml:space="preserve">О налоговых льготах организациям, осуществляющим деятельность по переработке отходов на территории Кемеровской области – Кузбасса» установлены следующие налоговые льготы:</w:t>
      </w:r>
      <w:r/>
    </w:p>
    <w:p>
      <w:pPr>
        <w:pStyle w:val="848"/>
        <w:ind w:firstLine="708"/>
        <w:jc w:val="both"/>
      </w:pPr>
      <w:r>
        <w:rPr>
          <w:sz w:val="28"/>
          <w:szCs w:val="28"/>
          <w:shd w:val="clear" w:color="auto" w:fill="ffffff"/>
        </w:rPr>
        <w:t xml:space="preserve">освобождение от налога на имущество организаций с основными средствами, используемыми для производства товаров (работ, услуг), и остаточной стоимостью имущества более 70 %;</w:t>
      </w:r>
      <w:r/>
    </w:p>
    <w:p>
      <w:pPr>
        <w:pStyle w:val="84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налоговая ставка снижается с 15 % до 5 % для организаций на упрощенную систему налогообложения (далее – УСН) «доходы минус расходы» с доходами от указанных видов деятельности более 70%;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firstLine="708"/>
        <w:jc w:val="both"/>
      </w:pPr>
      <w:r>
        <w:rPr>
          <w:sz w:val="28"/>
          <w:szCs w:val="28"/>
        </w:rPr>
        <w:t xml:space="preserve">налоговая ставка снижается с 6 % до 3 % для организаций на УСН «доходы» с доходами от указанных видов деятельности более 70%.</w:t>
      </w:r>
      <w:r/>
    </w:p>
    <w:sectPr>
      <w:footnotePr/>
      <w:endnotePr/>
      <w:type w:val="nextPage"/>
      <w:pgSz w:w="11906" w:h="16838" w:orient="portrait"/>
      <w:pgMar w:top="850" w:right="850" w:bottom="964" w:left="992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TimesDL">
    <w:panose1 w:val="020B0604020202020204"/>
  </w:font>
  <w:font w:name="Wingdings">
    <w:panose1 w:val="05010000000000000000"/>
  </w:font>
  <w:font w:name="PT Sans">
    <w:panose1 w:val="020B0503020203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0"/>
    <w:next w:val="840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0"/>
    <w:next w:val="840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link w:val="690"/>
    <w:uiPriority w:val="99"/>
  </w:style>
  <w:style w:type="paragraph" w:styleId="692">
    <w:name w:val="Footer"/>
    <w:basedOn w:val="84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link w:val="692"/>
    <w:uiPriority w:val="99"/>
  </w:style>
  <w:style w:type="paragraph" w:styleId="694">
    <w:name w:val="Caption"/>
    <w:basedOn w:val="840"/>
    <w:next w:val="8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692"/>
    <w:uiPriority w:val="99"/>
  </w:style>
  <w:style w:type="table" w:styleId="696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>
    <w:name w:val="No Spacing"/>
    <w:basedOn w:val="840"/>
    <w:uiPriority w:val="1"/>
    <w:qFormat/>
    <w:pPr>
      <w:spacing w:after="0" w:line="240" w:lineRule="auto"/>
    </w:pPr>
  </w:style>
  <w:style w:type="paragraph" w:styleId="844">
    <w:name w:val="List Paragraph"/>
    <w:basedOn w:val="840"/>
    <w:uiPriority w:val="34"/>
    <w:qFormat/>
    <w:pPr>
      <w:contextualSpacing/>
      <w:ind w:left="720"/>
    </w:pPr>
  </w:style>
  <w:style w:type="character" w:styleId="845" w:default="1">
    <w:name w:val="Default Paragraph Font"/>
    <w:uiPriority w:val="1"/>
    <w:semiHidden/>
    <w:unhideWhenUsed/>
  </w:style>
  <w:style w:type="paragraph" w:styleId="846" w:customStyle="1">
    <w:name w:val="Без интервала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PT Sans" w:hAnsi="PT Sans" w:eastAsia="PT Sans" w:cs="PT Sans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47" w:customStyle="1">
    <w:name w:val="Body Text"/>
    <w:basedOn w:val="816"/>
    <w:link w:val="821"/>
    <w:rPr>
      <w:rFonts w:ascii="TimesDL" w:hAnsi="TimesDL"/>
      <w:sz w:val="24"/>
    </w:rPr>
  </w:style>
  <w:style w:type="paragraph" w:styleId="848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ahoma" w:cs="Noto Sans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14</cp:revision>
  <dcterms:modified xsi:type="dcterms:W3CDTF">2026-10-06T03:57:15Z</dcterms:modified>
</cp:coreProperties>
</file>